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54EFDB90" w:rsidR="001A53D6" w:rsidRPr="00C66E4D" w:rsidRDefault="00A50B66" w:rsidP="00354140">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JBCG-3051</w:t>
            </w:r>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591AFD2C" w:rsidR="003069E0" w:rsidRPr="00C66E4D" w:rsidRDefault="00A50B66"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A50B66">
              <w:rPr>
                <w:rFonts w:ascii="Times New Roman" w:hAnsi="Times New Roman" w:cs="Times New Roman"/>
                <w:b/>
                <w:color w:val="000000" w:themeColor="text1"/>
              </w:rPr>
              <w:t>Boddeti Dr Govindh</w:t>
            </w:r>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51CA0DAA" w:rsidR="00E85D9A" w:rsidRDefault="00E9204E" w:rsidP="009D584F">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A50B66">
              <w:rPr>
                <w:rFonts w:ascii="Times New Roman" w:eastAsia="Times New Roman" w:hAnsi="Times New Roman" w:cs="Times New Roman"/>
                <w:b/>
                <w:bCs/>
                <w:color w:val="000000" w:themeColor="text1"/>
                <w:shd w:val="clear" w:color="auto" w:fill="FFFFFF"/>
                <w:lang w:val="en-IN" w:eastAsia="en-IN"/>
              </w:rPr>
              <w:t>: Successful Skin a</w:t>
            </w:r>
            <w:r w:rsidR="00A50B66" w:rsidRPr="00A50B66">
              <w:rPr>
                <w:rFonts w:ascii="Times New Roman" w:eastAsia="Times New Roman" w:hAnsi="Times New Roman" w:cs="Times New Roman"/>
                <w:b/>
                <w:bCs/>
                <w:color w:val="000000" w:themeColor="text1"/>
                <w:shd w:val="clear" w:color="auto" w:fill="FFFFFF"/>
                <w:lang w:val="en-IN" w:eastAsia="en-IN"/>
              </w:rPr>
              <w:t>nd Gut Infectious Pathogen: Staphylococccus Epider</w:t>
            </w:r>
            <w:r w:rsidR="00A50B66">
              <w:rPr>
                <w:rFonts w:ascii="Times New Roman" w:eastAsia="Times New Roman" w:hAnsi="Times New Roman" w:cs="Times New Roman"/>
                <w:b/>
                <w:bCs/>
                <w:color w:val="000000" w:themeColor="text1"/>
                <w:shd w:val="clear" w:color="auto" w:fill="FFFFFF"/>
                <w:lang w:val="en-IN" w:eastAsia="en-IN"/>
              </w:rPr>
              <w:t>midis, A Comprehensive Outlook o</w:t>
            </w:r>
            <w:r w:rsidR="00A50B66" w:rsidRPr="00A50B66">
              <w:rPr>
                <w:rFonts w:ascii="Times New Roman" w:eastAsia="Times New Roman" w:hAnsi="Times New Roman" w:cs="Times New Roman"/>
                <w:b/>
                <w:bCs/>
                <w:color w:val="000000" w:themeColor="text1"/>
                <w:shd w:val="clear" w:color="auto" w:fill="FFFFFF"/>
                <w:lang w:val="en-IN" w:eastAsia="en-IN"/>
              </w:rPr>
              <w:t>f Quorum Sensing Mediated Biofilm Formation</w:t>
            </w:r>
          </w:p>
          <w:p w14:paraId="29523762" w14:textId="6DD3244F" w:rsidR="00A50B66" w:rsidRDefault="00140858" w:rsidP="00A50B66">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691F5B" w:rsidRPr="00691F5B">
              <w:rPr>
                <w:rFonts w:ascii="Times New Roman" w:hAnsi="Times New Roman" w:cs="Times New Roman"/>
                <w:color w:val="000000" w:themeColor="text1"/>
              </w:rPr>
              <w:t>The</w:t>
            </w:r>
            <w:r w:rsidR="00691F5B">
              <w:rPr>
                <w:rFonts w:ascii="Times New Roman" w:hAnsi="Times New Roman" w:cs="Times New Roman"/>
                <w:color w:val="000000" w:themeColor="text1"/>
              </w:rPr>
              <w:t xml:space="preserve"> </w:t>
            </w:r>
            <w:r w:rsidR="00691F5B" w:rsidRPr="00691F5B">
              <w:rPr>
                <w:rFonts w:ascii="Times New Roman" w:hAnsi="Times New Roman" w:cs="Times New Roman"/>
                <w:color w:val="000000" w:themeColor="text1"/>
              </w:rPr>
              <w:t>article constitutes a detailed and scholarly analysis of Staphylococcus epidermidis, with emphasis on biofilm formation, drug resi</w:t>
            </w:r>
            <w:bookmarkStart w:id="0" w:name="_GoBack"/>
            <w:bookmarkEnd w:id="0"/>
            <w:r w:rsidR="00691F5B" w:rsidRPr="00691F5B">
              <w:rPr>
                <w:rFonts w:ascii="Times New Roman" w:hAnsi="Times New Roman" w:cs="Times New Roman"/>
                <w:color w:val="000000" w:themeColor="text1"/>
              </w:rPr>
              <w:t>stance, and pathogenesis.</w:t>
            </w:r>
          </w:p>
          <w:p w14:paraId="3EB4189A" w14:textId="77777777" w:rsidR="006F3266" w:rsidRPr="006F3266" w:rsidRDefault="006F3266" w:rsidP="006F3266">
            <w:pPr>
              <w:pStyle w:val="ListParagraph"/>
              <w:numPr>
                <w:ilvl w:val="0"/>
                <w:numId w:val="29"/>
              </w:numPr>
              <w:spacing w:line="360" w:lineRule="auto"/>
              <w:jc w:val="both"/>
              <w:rPr>
                <w:rFonts w:ascii="Times New Roman" w:hAnsi="Times New Roman" w:cs="Times New Roman"/>
                <w:color w:val="000000" w:themeColor="text1"/>
              </w:rPr>
            </w:pPr>
            <w:r w:rsidRPr="006F3266">
              <w:rPr>
                <w:rFonts w:ascii="Times New Roman" w:hAnsi="Times New Roman" w:cs="Times New Roman"/>
                <w:color w:val="000000" w:themeColor="text1"/>
              </w:rPr>
              <w:t>The article also incorporates convenient diagrams, including survival environments and the structure of biofilms. These illustrations supplement the complex explanations given so that the reader may understand better.</w:t>
            </w:r>
          </w:p>
          <w:p w14:paraId="22CCC5E8" w14:textId="1E20A2F0" w:rsidR="00841B8F" w:rsidRPr="006F3266" w:rsidRDefault="00841B8F" w:rsidP="006F3266">
            <w:pPr>
              <w:pStyle w:val="ListParagraph"/>
              <w:numPr>
                <w:ilvl w:val="0"/>
                <w:numId w:val="29"/>
              </w:numPr>
              <w:spacing w:line="360" w:lineRule="auto"/>
              <w:jc w:val="both"/>
              <w:rPr>
                <w:rFonts w:ascii="Times New Roman" w:hAnsi="Times New Roman" w:cs="Times New Roman"/>
                <w:color w:val="000000" w:themeColor="text1"/>
              </w:rPr>
            </w:pPr>
            <w:r w:rsidRPr="006F3266">
              <w:rPr>
                <w:rFonts w:ascii="Times New Roman" w:hAnsi="Times New Roman" w:cs="Times New Roman"/>
                <w:color w:val="000000" w:themeColor="text1"/>
              </w:rPr>
              <w:t>An extension of existing sections on the infection of S. epidermidis, including catheter-related infections, endocarditis and neonatal early onset sepsis, should accentuate the clinical aspect. Discuss the recent clinical trials and infection rates and best practice approach among the population. It would also make the article more important to health care practitioners because of the variety of populating the blanks with information.</w:t>
            </w:r>
          </w:p>
          <w:p w14:paraId="3E800902" w14:textId="24D12216" w:rsidR="00841B8F" w:rsidRPr="006F3266" w:rsidRDefault="00841B8F" w:rsidP="006F3266">
            <w:pPr>
              <w:pStyle w:val="ListParagraph"/>
              <w:numPr>
                <w:ilvl w:val="0"/>
                <w:numId w:val="29"/>
              </w:numPr>
              <w:spacing w:line="360" w:lineRule="auto"/>
              <w:jc w:val="both"/>
              <w:rPr>
                <w:rFonts w:ascii="Times New Roman" w:hAnsi="Times New Roman" w:cs="Times New Roman"/>
                <w:color w:val="000000" w:themeColor="text1"/>
              </w:rPr>
            </w:pPr>
            <w:r w:rsidRPr="006F3266">
              <w:rPr>
                <w:rFonts w:ascii="Times New Roman" w:hAnsi="Times New Roman" w:cs="Times New Roman"/>
                <w:color w:val="000000" w:themeColor="text1"/>
              </w:rPr>
              <w:t>Add the refractory to give the reader more recent research on such relatively new antiseptic technologies as phage therapy or using the CRISPR-Cas system or nanoparticles in treatment. Explain how these technologies can counter S. epidermidis resistance mechanisms and biofilm adversity.</w:t>
            </w:r>
          </w:p>
          <w:p w14:paraId="70DF8B0E" w14:textId="50E672D5" w:rsidR="00841B8F" w:rsidRPr="006F3266" w:rsidRDefault="00841B8F" w:rsidP="006F3266">
            <w:pPr>
              <w:pStyle w:val="ListParagraph"/>
              <w:numPr>
                <w:ilvl w:val="0"/>
                <w:numId w:val="29"/>
              </w:numPr>
              <w:spacing w:line="360" w:lineRule="auto"/>
              <w:jc w:val="both"/>
              <w:rPr>
                <w:rFonts w:ascii="Times New Roman" w:hAnsi="Times New Roman" w:cs="Times New Roman"/>
                <w:color w:val="000000" w:themeColor="text1"/>
              </w:rPr>
            </w:pPr>
            <w:r w:rsidRPr="006F3266">
              <w:rPr>
                <w:rFonts w:ascii="Times New Roman" w:hAnsi="Times New Roman" w:cs="Times New Roman"/>
                <w:color w:val="000000" w:themeColor="text1"/>
              </w:rPr>
              <w:t>It gives a slight information about multidrug-resistant S. epidermidis and does not expand enough space to discuss the issue of drug resistance and its development.</w:t>
            </w:r>
          </w:p>
          <w:p w14:paraId="39EC3F62" w14:textId="4AE68568" w:rsidR="00A50B66" w:rsidRDefault="00A50B66" w:rsidP="006F3266">
            <w:pPr>
              <w:pStyle w:val="ListParagraph"/>
              <w:numPr>
                <w:ilvl w:val="0"/>
                <w:numId w:val="29"/>
              </w:numPr>
              <w:spacing w:line="360" w:lineRule="auto"/>
              <w:jc w:val="both"/>
              <w:rPr>
                <w:rFonts w:ascii="Times New Roman" w:hAnsi="Times New Roman" w:cs="Times New Roman"/>
                <w:color w:val="000000" w:themeColor="text1"/>
              </w:rPr>
            </w:pPr>
            <w:r w:rsidRPr="006F3266">
              <w:rPr>
                <w:rFonts w:ascii="Times New Roman" w:hAnsi="Times New Roman" w:cs="Times New Roman"/>
                <w:color w:val="000000" w:themeColor="text1"/>
              </w:rPr>
              <w:t>Streamline the references by focusing on the most critical studies, or group similar references where appropriate.</w:t>
            </w:r>
          </w:p>
          <w:p w14:paraId="39F1A11A" w14:textId="77777777" w:rsidR="006F3266" w:rsidRPr="006F3266" w:rsidRDefault="006F3266" w:rsidP="006F3266">
            <w:pPr>
              <w:pStyle w:val="ListParagraph"/>
              <w:spacing w:line="360" w:lineRule="auto"/>
              <w:jc w:val="both"/>
              <w:rPr>
                <w:rFonts w:ascii="Times New Roman" w:hAnsi="Times New Roman" w:cs="Times New Roman"/>
                <w:color w:val="000000" w:themeColor="text1"/>
              </w:rPr>
            </w:pPr>
          </w:p>
          <w:p w14:paraId="387941E6" w14:textId="0400DF12" w:rsidR="0049531E" w:rsidRPr="00C66E4D" w:rsidRDefault="00DE24E6" w:rsidP="00A50B66">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The article can be publ</w:t>
            </w:r>
            <w:r w:rsidR="00B77468" w:rsidRPr="00C66E4D">
              <w:rPr>
                <w:rFonts w:ascii="Times New Roman" w:eastAsia="Times New Roman" w:hAnsi="Times New Roman" w:cs="Times New Roman"/>
                <w:bCs/>
                <w:color w:val="000000" w:themeColor="text1"/>
                <w:shd w:val="clear" w:color="auto" w:fill="FFFFFF"/>
                <w:lang w:val="en-IN" w:eastAsia="en-IN"/>
              </w:rPr>
              <w:t>ished</w:t>
            </w:r>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2428F" w14:textId="77777777" w:rsidR="00F402BE" w:rsidRDefault="00F402BE" w:rsidP="00F65AB0">
      <w:pPr>
        <w:spacing w:after="0" w:line="240" w:lineRule="auto"/>
      </w:pPr>
      <w:r>
        <w:separator/>
      </w:r>
    </w:p>
  </w:endnote>
  <w:endnote w:type="continuationSeparator" w:id="0">
    <w:p w14:paraId="65DA9504" w14:textId="77777777" w:rsidR="00F402BE" w:rsidRDefault="00F402BE"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29819" w14:textId="77777777" w:rsidR="00F402BE" w:rsidRDefault="00F402BE" w:rsidP="00F65AB0">
      <w:pPr>
        <w:spacing w:after="0" w:line="240" w:lineRule="auto"/>
      </w:pPr>
      <w:r>
        <w:separator/>
      </w:r>
    </w:p>
  </w:footnote>
  <w:footnote w:type="continuationSeparator" w:id="0">
    <w:p w14:paraId="14325E3A" w14:textId="77777777" w:rsidR="00F402BE" w:rsidRDefault="00F402BE"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1796978"/>
    <w:multiLevelType w:val="hybridMultilevel"/>
    <w:tmpl w:val="F28217D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2926469"/>
    <w:multiLevelType w:val="hybridMultilevel"/>
    <w:tmpl w:val="BEDEEB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7F04F91"/>
    <w:multiLevelType w:val="hybridMultilevel"/>
    <w:tmpl w:val="4C8C26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6D0C2AC6"/>
    <w:multiLevelType w:val="hybridMultilevel"/>
    <w:tmpl w:val="42CCF9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707D2C15"/>
    <w:multiLevelType w:val="hybridMultilevel"/>
    <w:tmpl w:val="C62CFB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22"/>
  </w:num>
  <w:num w:numId="5">
    <w:abstractNumId w:val="14"/>
  </w:num>
  <w:num w:numId="6">
    <w:abstractNumId w:val="16"/>
  </w:num>
  <w:num w:numId="7">
    <w:abstractNumId w:val="23"/>
  </w:num>
  <w:num w:numId="8">
    <w:abstractNumId w:val="4"/>
  </w:num>
  <w:num w:numId="9">
    <w:abstractNumId w:val="18"/>
  </w:num>
  <w:num w:numId="10">
    <w:abstractNumId w:val="24"/>
  </w:num>
  <w:num w:numId="11">
    <w:abstractNumId w:val="25"/>
  </w:num>
  <w:num w:numId="12">
    <w:abstractNumId w:val="6"/>
  </w:num>
  <w:num w:numId="13">
    <w:abstractNumId w:val="21"/>
  </w:num>
  <w:num w:numId="14">
    <w:abstractNumId w:val="3"/>
  </w:num>
  <w:num w:numId="15">
    <w:abstractNumId w:val="15"/>
  </w:num>
  <w:num w:numId="16">
    <w:abstractNumId w:val="17"/>
  </w:num>
  <w:num w:numId="17">
    <w:abstractNumId w:val="5"/>
  </w:num>
  <w:num w:numId="18">
    <w:abstractNumId w:val="28"/>
  </w:num>
  <w:num w:numId="19">
    <w:abstractNumId w:val="11"/>
  </w:num>
  <w:num w:numId="20">
    <w:abstractNumId w:val="9"/>
  </w:num>
  <w:num w:numId="21">
    <w:abstractNumId w:val="19"/>
  </w:num>
  <w:num w:numId="22">
    <w:abstractNumId w:val="8"/>
  </w:num>
  <w:num w:numId="23">
    <w:abstractNumId w:val="20"/>
  </w:num>
  <w:num w:numId="24">
    <w:abstractNumId w:val="2"/>
  </w:num>
  <w:num w:numId="25">
    <w:abstractNumId w:val="13"/>
  </w:num>
  <w:num w:numId="26">
    <w:abstractNumId w:val="27"/>
  </w:num>
  <w:num w:numId="27">
    <w:abstractNumId w:val="12"/>
  </w:num>
  <w:num w:numId="28">
    <w:abstractNumId w:val="10"/>
  </w:num>
  <w:num w:numId="29">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5003"/>
    <w:rsid w:val="000360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B724C"/>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0BB7"/>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1C1F"/>
    <w:rsid w:val="00353C2B"/>
    <w:rsid w:val="00354140"/>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4519"/>
    <w:rsid w:val="00426DBF"/>
    <w:rsid w:val="00427E44"/>
    <w:rsid w:val="00427F69"/>
    <w:rsid w:val="00430795"/>
    <w:rsid w:val="00433412"/>
    <w:rsid w:val="00433975"/>
    <w:rsid w:val="00436A3D"/>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03C7"/>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51F0B"/>
    <w:rsid w:val="00652A7D"/>
    <w:rsid w:val="00653B8B"/>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8500E"/>
    <w:rsid w:val="006866F8"/>
    <w:rsid w:val="00691914"/>
    <w:rsid w:val="00691F5B"/>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266"/>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0336"/>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1B8F"/>
    <w:rsid w:val="0084340F"/>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1881"/>
    <w:rsid w:val="00882931"/>
    <w:rsid w:val="00884A93"/>
    <w:rsid w:val="00886D71"/>
    <w:rsid w:val="008873BD"/>
    <w:rsid w:val="00887610"/>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5D6C"/>
    <w:rsid w:val="009C72D3"/>
    <w:rsid w:val="009D50EB"/>
    <w:rsid w:val="009D584F"/>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0B66"/>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5B3"/>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7179"/>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15E3"/>
    <w:rsid w:val="00E167B4"/>
    <w:rsid w:val="00E1766B"/>
    <w:rsid w:val="00E20D19"/>
    <w:rsid w:val="00E21AE8"/>
    <w:rsid w:val="00E21BA0"/>
    <w:rsid w:val="00E26DFF"/>
    <w:rsid w:val="00E27264"/>
    <w:rsid w:val="00E33AA5"/>
    <w:rsid w:val="00E33FF0"/>
    <w:rsid w:val="00E35C21"/>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2BE"/>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AB29BEE8-9BE6-4B57-8507-08970BD0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070908">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1923612">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0900139">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2411748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47918016">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78758430">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3938463">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E8C9A-8CE4-4755-8EB1-C3D7CF9F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7</cp:revision>
  <dcterms:created xsi:type="dcterms:W3CDTF">2024-10-19T10:15:00Z</dcterms:created>
  <dcterms:modified xsi:type="dcterms:W3CDTF">2024-10-23T10:41:00Z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